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A86A" w14:textId="45028345" w:rsidR="00BB2578" w:rsidRDefault="00713CA1" w:rsidP="004274DC">
      <w:pPr>
        <w:rPr>
          <w:b/>
          <w:bCs/>
          <w:sz w:val="28"/>
          <w:szCs w:val="28"/>
          <w:u w:val="single"/>
        </w:rPr>
      </w:pPr>
      <w:r>
        <w:rPr>
          <w:noProof/>
        </w:rPr>
        <w:drawing>
          <wp:anchor distT="0" distB="0" distL="114300" distR="114300" simplePos="0" relativeHeight="251658240" behindDoc="0" locked="0" layoutInCell="1" allowOverlap="1" wp14:anchorId="403630C6" wp14:editId="5B605C29">
            <wp:simplePos x="0" y="0"/>
            <wp:positionH relativeFrom="column">
              <wp:posOffset>-122259</wp:posOffset>
            </wp:positionH>
            <wp:positionV relativeFrom="paragraph">
              <wp:posOffset>1</wp:posOffset>
            </wp:positionV>
            <wp:extent cx="1956139" cy="762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74" cy="764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4B711" w14:textId="538CC791" w:rsidR="00AC6AC9" w:rsidRPr="004274DC" w:rsidRDefault="001676A8" w:rsidP="004274DC">
      <w:pPr>
        <w:rPr>
          <w:b/>
          <w:bCs/>
          <w:sz w:val="28"/>
          <w:szCs w:val="28"/>
          <w:u w:val="single"/>
        </w:rPr>
      </w:pPr>
      <w:r w:rsidRPr="004274DC">
        <w:rPr>
          <w:b/>
          <w:bCs/>
          <w:sz w:val="28"/>
          <w:szCs w:val="28"/>
          <w:u w:val="single"/>
        </w:rPr>
        <w:t>Escalatio</w:t>
      </w:r>
      <w:r w:rsidR="005C4E94" w:rsidRPr="004274DC">
        <w:rPr>
          <w:b/>
          <w:bCs/>
          <w:sz w:val="28"/>
          <w:szCs w:val="28"/>
          <w:u w:val="single"/>
        </w:rPr>
        <w:t xml:space="preserve">n </w:t>
      </w:r>
      <w:r w:rsidR="001034B5" w:rsidRPr="004274DC">
        <w:rPr>
          <w:b/>
          <w:bCs/>
          <w:sz w:val="28"/>
          <w:szCs w:val="28"/>
          <w:u w:val="single"/>
        </w:rPr>
        <w:t>Policy for Trainees in Difficulties</w:t>
      </w:r>
    </w:p>
    <w:p w14:paraId="16FAB1A3" w14:textId="77777777" w:rsidR="00AC6AC9" w:rsidRDefault="00AC6AC9" w:rsidP="00B95B51">
      <w:pPr>
        <w:rPr>
          <w:b/>
          <w:bCs/>
          <w:i/>
          <w:iCs/>
        </w:rPr>
      </w:pPr>
    </w:p>
    <w:p w14:paraId="1FAE2C0E" w14:textId="1ABC69FD" w:rsidR="00C4577F" w:rsidRDefault="00C4577F" w:rsidP="00C4577F">
      <w:r>
        <w:t xml:space="preserve">Whilst in general terms confidentiality should be maintained by the buddy pairing, if serious issues/concerns arise then it may be necessary for this to be breached, for example in cases of serious concerns relating to patient safety, fitness to practice or serious concerns relating to a trainee’s mental or physical health. </w:t>
      </w:r>
    </w:p>
    <w:p w14:paraId="350938B5" w14:textId="77777777" w:rsidR="008E7826" w:rsidRDefault="008E7826" w:rsidP="00C4577F"/>
    <w:p w14:paraId="70BA0597" w14:textId="2DE34257" w:rsidR="00CB6B33" w:rsidRDefault="00CB6B33" w:rsidP="00C4577F">
      <w:r>
        <w:t xml:space="preserve">This policy serves as a guide to when </w:t>
      </w:r>
      <w:r w:rsidR="007E0729">
        <w:t>the senior</w:t>
      </w:r>
      <w:r>
        <w:t xml:space="preserve"> trainee</w:t>
      </w:r>
      <w:r w:rsidR="007E0729">
        <w:t xml:space="preserve"> of the pair</w:t>
      </w:r>
      <w:r>
        <w:t xml:space="preserve"> needs to forego confidentiality.</w:t>
      </w:r>
      <w:r w:rsidR="00840968">
        <w:t xml:space="preserve"> The General Medical Council states in Good Medical Practice </w:t>
      </w:r>
      <w:r w:rsidR="00702A1A" w:rsidRPr="00702A1A">
        <w:rPr>
          <w:vertAlign w:val="superscript"/>
        </w:rPr>
        <w:t>1</w:t>
      </w:r>
      <w:r w:rsidR="00702A1A">
        <w:t xml:space="preserve"> </w:t>
      </w:r>
      <w:r w:rsidR="00840968">
        <w:t>that:</w:t>
      </w:r>
    </w:p>
    <w:p w14:paraId="2BE82651" w14:textId="57775A8F" w:rsidR="002E0402" w:rsidRDefault="001047A2" w:rsidP="002E0402">
      <w:pPr>
        <w:pStyle w:val="ListParagraph"/>
        <w:numPr>
          <w:ilvl w:val="0"/>
          <w:numId w:val="4"/>
        </w:numPr>
      </w:pPr>
      <w:r>
        <w:t>You should be willing to take on a mentoring role for more junior doctors and other healthcare professionals</w:t>
      </w:r>
    </w:p>
    <w:p w14:paraId="2A6FDA05" w14:textId="01475569" w:rsidR="00912C0A" w:rsidRPr="002E0402" w:rsidRDefault="001047A2" w:rsidP="002E0402">
      <w:pPr>
        <w:pStyle w:val="ListParagraph"/>
        <w:numPr>
          <w:ilvl w:val="0"/>
          <w:numId w:val="4"/>
        </w:numPr>
      </w:pPr>
      <w:r>
        <w:t>You must support colleagues who have problems with their performance or health. However</w:t>
      </w:r>
      <w:r w:rsidR="00733B63">
        <w:t>,</w:t>
      </w:r>
      <w:r w:rsidR="006670AE">
        <w:t xml:space="preserve"> </w:t>
      </w:r>
      <w:r>
        <w:t>patient safety is paramount and a clinician’s primary priority in all situations</w:t>
      </w:r>
    </w:p>
    <w:p w14:paraId="1388E5C8" w14:textId="77777777" w:rsidR="007E0729" w:rsidRDefault="007E0729" w:rsidP="002E0402"/>
    <w:p w14:paraId="41E36EDB" w14:textId="68D8FD21" w:rsidR="00A80ABC" w:rsidRDefault="007E0729" w:rsidP="002E0402">
      <w:r>
        <w:t xml:space="preserve">When breaching this confidential relationship, the junior trainee should be informed of the obligation to discuss the content </w:t>
      </w:r>
      <w:r w:rsidR="00B566CD">
        <w:t>of a conversatio</w:t>
      </w:r>
      <w:r w:rsidR="00A80ABC">
        <w:t>n, including:</w:t>
      </w:r>
    </w:p>
    <w:p w14:paraId="6773D485" w14:textId="2BDDDDC8" w:rsidR="00A80ABC" w:rsidRDefault="00A80ABC" w:rsidP="00A80ABC">
      <w:pPr>
        <w:pStyle w:val="ListParagraph"/>
        <w:numPr>
          <w:ilvl w:val="0"/>
          <w:numId w:val="5"/>
        </w:numPr>
      </w:pPr>
      <w:r>
        <w:t>Why the information needs to be disclosed</w:t>
      </w:r>
    </w:p>
    <w:p w14:paraId="79921CD7" w14:textId="4CDADBB1" w:rsidR="00A80ABC" w:rsidRDefault="00D5140E" w:rsidP="00A80ABC">
      <w:pPr>
        <w:pStyle w:val="ListParagraph"/>
        <w:numPr>
          <w:ilvl w:val="0"/>
          <w:numId w:val="5"/>
        </w:numPr>
      </w:pPr>
      <w:r>
        <w:t>Who should disclose this information and how this will take place</w:t>
      </w:r>
    </w:p>
    <w:p w14:paraId="032AFF54" w14:textId="6D4E5406" w:rsidR="00237498" w:rsidRDefault="00237498" w:rsidP="00A80ABC">
      <w:pPr>
        <w:pStyle w:val="ListParagraph"/>
        <w:numPr>
          <w:ilvl w:val="0"/>
          <w:numId w:val="5"/>
        </w:numPr>
      </w:pPr>
      <w:r>
        <w:t>If there is disagreement, outline what you are going to say, when and to whom</w:t>
      </w:r>
    </w:p>
    <w:p w14:paraId="2098AF24" w14:textId="4F5E15F3" w:rsidR="00FC6FF1" w:rsidRDefault="00FC6FF1" w:rsidP="00FC6FF1"/>
    <w:p w14:paraId="677CFD64" w14:textId="6331117E" w:rsidR="00BC3F28" w:rsidRDefault="00BC3F28" w:rsidP="00FC6FF1">
      <w:r>
        <w:t>The pathway for escalation should be as follows, with further action taken as necessary.</w:t>
      </w:r>
    </w:p>
    <w:p w14:paraId="7C6E394F" w14:textId="77777777" w:rsidR="00A52B16" w:rsidRPr="00A52B16" w:rsidRDefault="00A52B16" w:rsidP="00366A8E">
      <w:pPr>
        <w:rPr>
          <w:sz w:val="2"/>
          <w:szCs w:val="2"/>
        </w:rPr>
      </w:pPr>
    </w:p>
    <w:p w14:paraId="44517C48" w14:textId="3D010E1A" w:rsidR="00AC24B5" w:rsidRDefault="00A52B16" w:rsidP="00366A8E">
      <w:r>
        <w:rPr>
          <w:noProof/>
        </w:rPr>
        <w:drawing>
          <wp:inline distT="0" distB="0" distL="0" distR="0" wp14:anchorId="6C86C014" wp14:editId="069BCA4C">
            <wp:extent cx="5731510" cy="1056640"/>
            <wp:effectExtent l="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965C500" w14:textId="059570B6" w:rsidR="00C539DC" w:rsidRDefault="00ED5FA3" w:rsidP="00ED5FA3">
      <w:pPr>
        <w:pStyle w:val="Caption"/>
        <w:rPr>
          <w:color w:val="auto"/>
        </w:rPr>
      </w:pPr>
      <w:r w:rsidRPr="00AC24B5">
        <w:rPr>
          <w:b/>
          <w:bCs/>
          <w:color w:val="auto"/>
        </w:rPr>
        <w:t xml:space="preserve">Figure </w:t>
      </w:r>
      <w:r w:rsidR="008E32B9">
        <w:rPr>
          <w:b/>
          <w:bCs/>
          <w:color w:val="auto"/>
        </w:rPr>
        <w:t>1</w:t>
      </w:r>
      <w:r w:rsidRPr="00ED5FA3">
        <w:rPr>
          <w:color w:val="auto"/>
        </w:rPr>
        <w:t>- Escalation pathway for issues outside scope of informal buddying</w:t>
      </w:r>
      <w:r w:rsidR="00716685">
        <w:rPr>
          <w:color w:val="auto"/>
        </w:rPr>
        <w:t>. *this can either be the junior or the senior trainee’s educational supervisor.</w:t>
      </w:r>
    </w:p>
    <w:p w14:paraId="086D205A" w14:textId="03E5C915" w:rsidR="008E32B9" w:rsidRDefault="008E32B9" w:rsidP="008E32B9"/>
    <w:p w14:paraId="215FEFDD" w14:textId="452CA214" w:rsidR="00EE4321" w:rsidRPr="004B4D98" w:rsidRDefault="00F44F1A" w:rsidP="008E32B9">
      <w:pPr>
        <w:rPr>
          <w:sz w:val="24"/>
          <w:szCs w:val="24"/>
          <w:u w:val="single"/>
        </w:rPr>
      </w:pPr>
      <w:r w:rsidRPr="004B4D98">
        <w:rPr>
          <w:sz w:val="24"/>
          <w:szCs w:val="24"/>
          <w:u w:val="single"/>
        </w:rPr>
        <w:t>Examples of Potential Reasons for Escalation</w:t>
      </w:r>
    </w:p>
    <w:p w14:paraId="239A8EB3" w14:textId="2417A893" w:rsidR="00972F25" w:rsidRPr="004B4D98" w:rsidRDefault="00EE4321" w:rsidP="008E32B9">
      <w:pPr>
        <w:rPr>
          <w:b/>
          <w:bCs/>
          <w:i/>
          <w:iCs/>
        </w:rPr>
      </w:pPr>
      <w:r w:rsidRPr="004B4D98">
        <w:rPr>
          <w:b/>
          <w:bCs/>
          <w:i/>
          <w:iCs/>
        </w:rPr>
        <w:t xml:space="preserve">Patient Safety Concerns </w:t>
      </w:r>
    </w:p>
    <w:p w14:paraId="2E57C22E" w14:textId="42F130A7" w:rsidR="00874977" w:rsidRDefault="00EE4321" w:rsidP="008E32B9">
      <w:r>
        <w:t>GMC guidance states</w:t>
      </w:r>
      <w:r w:rsidR="00972F25">
        <w:t xml:space="preserve"> that</w:t>
      </w:r>
      <w:r>
        <w:t xml:space="preserve"> ‘Raising and acting on concerns about patient safety (2012) sets out our expectation that all doctors will, whatever their role, take appropriate action to raise and act on concerns about patient care, dignity and safety’</w:t>
      </w:r>
      <w:r w:rsidR="00CA61ED" w:rsidRPr="00CA61ED">
        <w:rPr>
          <w:vertAlign w:val="superscript"/>
        </w:rPr>
        <w:t>2</w:t>
      </w:r>
      <w:r w:rsidR="00CA61ED" w:rsidRPr="00CA61ED">
        <w:t>.</w:t>
      </w:r>
      <w:r>
        <w:t xml:space="preserve"> In addition, the GMC advises</w:t>
      </w:r>
      <w:r w:rsidR="001B59B9">
        <w:t xml:space="preserve"> </w:t>
      </w:r>
      <w:r w:rsidR="001B59B9" w:rsidRPr="001B59B9">
        <w:rPr>
          <w:vertAlign w:val="superscript"/>
        </w:rPr>
        <w:t>2</w:t>
      </w:r>
      <w:r>
        <w:t xml:space="preserve">: </w:t>
      </w:r>
    </w:p>
    <w:p w14:paraId="6A285D14" w14:textId="77777777" w:rsidR="00874977" w:rsidRDefault="00EE4321" w:rsidP="00874977">
      <w:pPr>
        <w:pStyle w:val="ListParagraph"/>
        <w:numPr>
          <w:ilvl w:val="0"/>
          <w:numId w:val="6"/>
        </w:numPr>
      </w:pPr>
      <w:r>
        <w:t>Your duty to report overrides personal and professional loyalties</w:t>
      </w:r>
    </w:p>
    <w:p w14:paraId="19E317CB" w14:textId="77777777" w:rsidR="00874977" w:rsidRDefault="00EE4321" w:rsidP="00874977">
      <w:pPr>
        <w:pStyle w:val="ListParagraph"/>
        <w:numPr>
          <w:ilvl w:val="0"/>
          <w:numId w:val="6"/>
        </w:numPr>
      </w:pPr>
      <w:r>
        <w:t>You can raise concern without a burden of proof</w:t>
      </w:r>
    </w:p>
    <w:p w14:paraId="04489264" w14:textId="77777777" w:rsidR="00874977" w:rsidRDefault="00EE4321" w:rsidP="00874977">
      <w:pPr>
        <w:pStyle w:val="ListParagraph"/>
        <w:numPr>
          <w:ilvl w:val="0"/>
          <w:numId w:val="6"/>
        </w:numPr>
      </w:pPr>
      <w:r>
        <w:t xml:space="preserve">Whistleblowing is legally protected </w:t>
      </w:r>
    </w:p>
    <w:p w14:paraId="2E1C063C" w14:textId="77777777" w:rsidR="00874977" w:rsidRDefault="00874977" w:rsidP="00874977"/>
    <w:p w14:paraId="03109028" w14:textId="0C6CF4A3" w:rsidR="00370B51" w:rsidRDefault="00EE4321" w:rsidP="00874977">
      <w:r>
        <w:lastRenderedPageBreak/>
        <w:t xml:space="preserve">When </w:t>
      </w:r>
      <w:r w:rsidR="00433ED4">
        <w:t>buddying</w:t>
      </w:r>
      <w:r>
        <w:t xml:space="preserve"> you may come across situations where patient safety issues </w:t>
      </w:r>
      <w:r w:rsidR="002F5ACB">
        <w:t>are</w:t>
      </w:r>
      <w:r>
        <w:t xml:space="preserve"> raised. The issue should be discussed</w:t>
      </w:r>
      <w:r w:rsidR="00B23488">
        <w:t xml:space="preserve"> with the</w:t>
      </w:r>
      <w:r>
        <w:t xml:space="preserve"> </w:t>
      </w:r>
      <w:r w:rsidR="00370B51">
        <w:t>junior trainee</w:t>
      </w:r>
      <w:r w:rsidR="00B23488">
        <w:t xml:space="preserve"> and</w:t>
      </w:r>
      <w:r w:rsidR="00E34922">
        <w:t xml:space="preserve"> then this should be </w:t>
      </w:r>
      <w:r w:rsidR="00437248">
        <w:t>escalated</w:t>
      </w:r>
      <w:r w:rsidR="00E34922">
        <w:t xml:space="preserve"> following the flowchart in figure 1.</w:t>
      </w:r>
    </w:p>
    <w:p w14:paraId="5FB4546C" w14:textId="77777777" w:rsidR="00370B51" w:rsidRDefault="00370B51" w:rsidP="00874977"/>
    <w:p w14:paraId="49F0D443" w14:textId="370BEDF3" w:rsidR="00370B51" w:rsidRPr="000E63F0" w:rsidRDefault="00EE4321" w:rsidP="00874977">
      <w:pPr>
        <w:rPr>
          <w:b/>
          <w:bCs/>
          <w:i/>
          <w:iCs/>
        </w:rPr>
      </w:pPr>
      <w:r w:rsidRPr="000E63F0">
        <w:rPr>
          <w:b/>
          <w:bCs/>
          <w:i/>
          <w:iCs/>
        </w:rPr>
        <w:t xml:space="preserve">Fitness to Practice Concerns </w:t>
      </w:r>
    </w:p>
    <w:p w14:paraId="37CFE43D" w14:textId="7B211B9E" w:rsidR="005E748F" w:rsidRDefault="00EE4321" w:rsidP="00874977">
      <w:r>
        <w:t>The GMC define fitness to practice in the following ways</w:t>
      </w:r>
      <w:r w:rsidR="0077304C">
        <w:t xml:space="preserve"> </w:t>
      </w:r>
      <w:r w:rsidR="0077304C" w:rsidRPr="0077304C">
        <w:rPr>
          <w:vertAlign w:val="superscript"/>
        </w:rPr>
        <w:t>3</w:t>
      </w:r>
      <w:r>
        <w:t xml:space="preserve">: </w:t>
      </w:r>
    </w:p>
    <w:p w14:paraId="4910C5B3" w14:textId="779CD6C8" w:rsidR="005E748F" w:rsidRDefault="005E748F" w:rsidP="005E748F">
      <w:pPr>
        <w:pStyle w:val="ListParagraph"/>
        <w:numPr>
          <w:ilvl w:val="0"/>
          <w:numId w:val="8"/>
        </w:numPr>
      </w:pPr>
      <w:r>
        <w:t>To pract</w:t>
      </w:r>
      <w:r w:rsidR="00EE4321">
        <w:t xml:space="preserve">ise safely, doctors must be competent in what they do. They must establish and maintain effective relationships with patients, respect patients’ autonomy and act responsibly and appropriately if they or a colleague fall </w:t>
      </w:r>
      <w:r w:rsidR="00EA3E9E">
        <w:t>ill,</w:t>
      </w:r>
      <w:r w:rsidR="00EE4321">
        <w:t xml:space="preserve"> and their performance suffers. </w:t>
      </w:r>
    </w:p>
    <w:p w14:paraId="3532178B" w14:textId="77777777" w:rsidR="005E748F" w:rsidRDefault="00EE4321" w:rsidP="005E748F">
      <w:pPr>
        <w:pStyle w:val="ListParagraph"/>
        <w:numPr>
          <w:ilvl w:val="0"/>
          <w:numId w:val="8"/>
        </w:numPr>
      </w:pPr>
      <w:r>
        <w:t xml:space="preserve">But these attributes, while essential, are not enough. Doctors have a respected position in society and their work gives them privileged access to patients, some of whom may be very vulnerable. A doctor whose conduct has shown that he cannot justify the trust placed in him should not continue in unrestricted practice while that remains the case. </w:t>
      </w:r>
    </w:p>
    <w:p w14:paraId="7ECF2313" w14:textId="056EC53B" w:rsidR="00A078A3" w:rsidRDefault="00EE4321" w:rsidP="005E748F">
      <w:pPr>
        <w:pStyle w:val="ListParagraph"/>
        <w:numPr>
          <w:ilvl w:val="0"/>
          <w:numId w:val="8"/>
        </w:numPr>
      </w:pPr>
      <w:r>
        <w:t xml:space="preserve">In short, the public is entitled to expect that their doctor is fit to </w:t>
      </w:r>
      <w:r w:rsidR="006D1218">
        <w:t>practise and</w:t>
      </w:r>
      <w:r>
        <w:t xml:space="preserve"> follows our principles of good practice described in Good medical practice. It sets out the standards of competence, care and conduct expected of doctors</w:t>
      </w:r>
      <w:r w:rsidR="00B66116">
        <w:t>.</w:t>
      </w:r>
      <w:r>
        <w:t xml:space="preserve"> </w:t>
      </w:r>
    </w:p>
    <w:p w14:paraId="39B1B94B" w14:textId="0A3E9584" w:rsidR="00851DF6" w:rsidRPr="00851DF6" w:rsidRDefault="00851DF6" w:rsidP="00A078A3">
      <w:pPr>
        <w:rPr>
          <w:b/>
          <w:bCs/>
          <w:i/>
          <w:iCs/>
        </w:rPr>
      </w:pPr>
    </w:p>
    <w:p w14:paraId="12713D41" w14:textId="5C70AFA6" w:rsidR="00851DF6" w:rsidRDefault="005520E3" w:rsidP="00EA6808">
      <w:r>
        <w:t>If you are concerned that a junior trainee’s re</w:t>
      </w:r>
      <w:r w:rsidR="00EE4321">
        <w:t>peated conduct or health is</w:t>
      </w:r>
      <w:r w:rsidR="00EA6808">
        <w:t xml:space="preserve"> resulting in patient safety </w:t>
      </w:r>
      <w:r w:rsidR="00E34922">
        <w:t>concern,</w:t>
      </w:r>
      <w:r w:rsidR="00EA6808">
        <w:t xml:space="preserve"> then this should be </w:t>
      </w:r>
      <w:r w:rsidR="00437248">
        <w:t>escalated</w:t>
      </w:r>
      <w:r w:rsidR="00EA6808">
        <w:t xml:space="preserve"> following the flowchart in figure 1.</w:t>
      </w:r>
    </w:p>
    <w:p w14:paraId="1F7C8499" w14:textId="77777777" w:rsidR="00851DF6" w:rsidRDefault="00851DF6" w:rsidP="00851DF6"/>
    <w:p w14:paraId="664E8D64" w14:textId="6FB02B24" w:rsidR="00851DF6" w:rsidRPr="00437248" w:rsidRDefault="00EE4321" w:rsidP="00851DF6">
      <w:pPr>
        <w:rPr>
          <w:b/>
          <w:bCs/>
          <w:i/>
          <w:iCs/>
        </w:rPr>
      </w:pPr>
      <w:r w:rsidRPr="00437248">
        <w:rPr>
          <w:b/>
          <w:bCs/>
          <w:i/>
          <w:iCs/>
        </w:rPr>
        <w:t xml:space="preserve">Concerns </w:t>
      </w:r>
      <w:r w:rsidR="000E63F0" w:rsidRPr="00437248">
        <w:rPr>
          <w:b/>
          <w:bCs/>
          <w:i/>
          <w:iCs/>
        </w:rPr>
        <w:t xml:space="preserve">About a Trainee’s Physical or Mental Health </w:t>
      </w:r>
    </w:p>
    <w:p w14:paraId="4B70717D" w14:textId="7C8FB9A8" w:rsidR="00EE4321" w:rsidRDefault="00EE4321" w:rsidP="008E32B9">
      <w:r>
        <w:t xml:space="preserve">Early recognition and </w:t>
      </w:r>
      <w:r w:rsidR="00527E72">
        <w:t xml:space="preserve">access to support is of vital importance </w:t>
      </w:r>
      <w:r w:rsidR="003E4AE6">
        <w:t>in cases where you are concerned about a trainee’s physical or mental health</w:t>
      </w:r>
      <w:r>
        <w:t>.</w:t>
      </w:r>
      <w:r w:rsidR="003E4AE6">
        <w:t xml:space="preserve"> </w:t>
      </w:r>
      <w:r>
        <w:t xml:space="preserve">Many doctors experience a stress or burnout at some time in their career and </w:t>
      </w:r>
      <w:r w:rsidR="00060ABA">
        <w:t>if you think that this is happening to a trainee you are paired with then</w:t>
      </w:r>
      <w:r w:rsidR="00FD52A0">
        <w:t xml:space="preserve"> you may be able to discuss the issue with the trainee, off</w:t>
      </w:r>
      <w:r w:rsidR="00873440">
        <w:t>er support and most importantly signpost them to appropriate resources for further help.</w:t>
      </w:r>
      <w:r w:rsidR="00093CAF">
        <w:t xml:space="preserve"> If these concerns are significant and beyond the scope of the buddy scheme, then this should be escalated following the flowchart in figure 1.</w:t>
      </w:r>
    </w:p>
    <w:p w14:paraId="30D2520D" w14:textId="77777777" w:rsidR="00577040" w:rsidRDefault="00577040" w:rsidP="008E32B9"/>
    <w:p w14:paraId="2EB9F16F" w14:textId="4D0D9A8A" w:rsidR="00300BC3" w:rsidRPr="008E7826" w:rsidRDefault="008E32B9" w:rsidP="008E32B9">
      <w:pPr>
        <w:rPr>
          <w:sz w:val="24"/>
          <w:szCs w:val="24"/>
          <w:u w:val="single"/>
        </w:rPr>
      </w:pPr>
      <w:r w:rsidRPr="008E7826">
        <w:rPr>
          <w:sz w:val="24"/>
          <w:szCs w:val="24"/>
          <w:u w:val="single"/>
        </w:rPr>
        <w:t>Acknowledgements</w:t>
      </w:r>
    </w:p>
    <w:p w14:paraId="58F5A198" w14:textId="3D6BD59B" w:rsidR="008E32B9" w:rsidRDefault="008E32B9" w:rsidP="008E32B9">
      <w:r>
        <w:t xml:space="preserve">This guidance is based </w:t>
      </w:r>
      <w:r w:rsidR="006D7B9E">
        <w:t xml:space="preserve">closely </w:t>
      </w:r>
      <w:r>
        <w:t>on guidance produced by the Mersey Orthopaedic Mentoring Group, to whom we are extremely grateful</w:t>
      </w:r>
      <w:r w:rsidR="006D7B9E">
        <w:t xml:space="preserve"> for allowing us to share and adapt for the use of the Mersey Anaesthetics Buddy Scheme.</w:t>
      </w:r>
    </w:p>
    <w:p w14:paraId="350B71B7" w14:textId="78CEF693" w:rsidR="00EA3E9E" w:rsidRDefault="00EA3E9E" w:rsidP="008E32B9"/>
    <w:p w14:paraId="36D65785" w14:textId="74480E9D" w:rsidR="00EA3E9E" w:rsidRPr="00EA3E9E" w:rsidRDefault="00EA3E9E" w:rsidP="008E32B9">
      <w:pPr>
        <w:rPr>
          <w:sz w:val="24"/>
          <w:szCs w:val="24"/>
          <w:u w:val="single"/>
        </w:rPr>
      </w:pPr>
      <w:r>
        <w:rPr>
          <w:sz w:val="24"/>
          <w:szCs w:val="24"/>
          <w:u w:val="single"/>
        </w:rPr>
        <w:t>References</w:t>
      </w:r>
    </w:p>
    <w:p w14:paraId="59D50A7A" w14:textId="3C13AF7B" w:rsidR="00EA3E9E" w:rsidRPr="000A5F96" w:rsidRDefault="00EA3E9E" w:rsidP="00EA3E9E">
      <w:pPr>
        <w:pStyle w:val="ListParagraph"/>
        <w:numPr>
          <w:ilvl w:val="0"/>
          <w:numId w:val="11"/>
        </w:numPr>
      </w:pPr>
      <w:r>
        <w:t>GMC</w:t>
      </w:r>
      <w:r w:rsidR="000A5F96">
        <w:t>.</w:t>
      </w:r>
      <w:r>
        <w:t xml:space="preserve"> Good Medical Practice. Domain three – Communication, partnership and teamwork </w:t>
      </w:r>
      <w:r w:rsidR="000566E1" w:rsidRPr="00720E81">
        <w:rPr>
          <w:u w:val="single"/>
        </w:rPr>
        <w:t xml:space="preserve">www.gmc-uk.org/-/media/documents/good-medical-practice---english-1215_pdf51527435.pdf </w:t>
      </w:r>
      <w:r w:rsidR="000566E1" w:rsidRPr="000A5F96">
        <w:t>Page 15</w:t>
      </w:r>
    </w:p>
    <w:p w14:paraId="51848FDB" w14:textId="77777777" w:rsidR="000566E1" w:rsidRDefault="000566E1" w:rsidP="00EA3E9E">
      <w:pPr>
        <w:pStyle w:val="ListParagraph"/>
        <w:numPr>
          <w:ilvl w:val="0"/>
          <w:numId w:val="11"/>
        </w:numPr>
      </w:pPr>
      <w:r>
        <w:t xml:space="preserve">GMC. Raising and acting on concerns about patient safety. </w:t>
      </w:r>
    </w:p>
    <w:p w14:paraId="46B365BB" w14:textId="1236A788" w:rsidR="0077304C" w:rsidRDefault="0077304C" w:rsidP="0077304C">
      <w:pPr>
        <w:pStyle w:val="ListParagraph"/>
        <w:rPr>
          <w:u w:val="single"/>
        </w:rPr>
      </w:pPr>
      <w:r w:rsidRPr="0077304C">
        <w:rPr>
          <w:u w:val="single"/>
        </w:rPr>
        <w:t>www.gmc-uk.org/ethical-guidance/ethical-guidance-for-doctors/raising-and-acting-on-concerns/part-1-raising-a-concern#paragraph-7</w:t>
      </w:r>
    </w:p>
    <w:p w14:paraId="2A93A2F8" w14:textId="6A823FDC" w:rsidR="0077304C" w:rsidRPr="0077304C" w:rsidRDefault="0077304C" w:rsidP="0077304C">
      <w:pPr>
        <w:pStyle w:val="ListParagraph"/>
        <w:numPr>
          <w:ilvl w:val="0"/>
          <w:numId w:val="11"/>
        </w:numPr>
        <w:rPr>
          <w:u w:val="single"/>
        </w:rPr>
      </w:pPr>
      <w:r>
        <w:t xml:space="preserve">GMC The Meaning of Fitness to Practice. Published April 2014 | Date for review April 2019. Code: GMC/MFTP/0414 </w:t>
      </w:r>
      <w:r w:rsidRPr="0077304C">
        <w:rPr>
          <w:u w:val="single"/>
        </w:rPr>
        <w:t>www.gmcuk.org/media/documents/DC4591_The_meaning_of_fitness_to_practise_25416562.pdf</w:t>
      </w:r>
    </w:p>
    <w:sectPr w:rsidR="0077304C" w:rsidRPr="0077304C" w:rsidSect="00AC6AC9">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0BC7"/>
    <w:multiLevelType w:val="hybridMultilevel"/>
    <w:tmpl w:val="1A36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629BB"/>
    <w:multiLevelType w:val="hybridMultilevel"/>
    <w:tmpl w:val="88909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B7A88"/>
    <w:multiLevelType w:val="hybridMultilevel"/>
    <w:tmpl w:val="E72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2545B"/>
    <w:multiLevelType w:val="hybridMultilevel"/>
    <w:tmpl w:val="C64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A077A"/>
    <w:multiLevelType w:val="hybridMultilevel"/>
    <w:tmpl w:val="105AB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31D74"/>
    <w:multiLevelType w:val="hybridMultilevel"/>
    <w:tmpl w:val="4164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26E97"/>
    <w:multiLevelType w:val="hybridMultilevel"/>
    <w:tmpl w:val="B5284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C40B2"/>
    <w:multiLevelType w:val="hybridMultilevel"/>
    <w:tmpl w:val="5D12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02AF1"/>
    <w:multiLevelType w:val="hybridMultilevel"/>
    <w:tmpl w:val="59D60228"/>
    <w:lvl w:ilvl="0" w:tplc="17EABD1A">
      <w:start w:val="1"/>
      <w:numFmt w:val="bullet"/>
      <w:lvlText w:val="•"/>
      <w:lvlJc w:val="left"/>
      <w:pPr>
        <w:tabs>
          <w:tab w:val="num" w:pos="720"/>
        </w:tabs>
        <w:ind w:left="720" w:hanging="360"/>
      </w:pPr>
      <w:rPr>
        <w:rFonts w:ascii="Times New Roman" w:hAnsi="Times New Roman" w:hint="default"/>
      </w:rPr>
    </w:lvl>
    <w:lvl w:ilvl="1" w:tplc="2BD4F1FE" w:tentative="1">
      <w:start w:val="1"/>
      <w:numFmt w:val="bullet"/>
      <w:lvlText w:val="•"/>
      <w:lvlJc w:val="left"/>
      <w:pPr>
        <w:tabs>
          <w:tab w:val="num" w:pos="1440"/>
        </w:tabs>
        <w:ind w:left="1440" w:hanging="360"/>
      </w:pPr>
      <w:rPr>
        <w:rFonts w:ascii="Times New Roman" w:hAnsi="Times New Roman" w:hint="default"/>
      </w:rPr>
    </w:lvl>
    <w:lvl w:ilvl="2" w:tplc="49906906" w:tentative="1">
      <w:start w:val="1"/>
      <w:numFmt w:val="bullet"/>
      <w:lvlText w:val="•"/>
      <w:lvlJc w:val="left"/>
      <w:pPr>
        <w:tabs>
          <w:tab w:val="num" w:pos="2160"/>
        </w:tabs>
        <w:ind w:left="2160" w:hanging="360"/>
      </w:pPr>
      <w:rPr>
        <w:rFonts w:ascii="Times New Roman" w:hAnsi="Times New Roman" w:hint="default"/>
      </w:rPr>
    </w:lvl>
    <w:lvl w:ilvl="3" w:tplc="7570AFE0" w:tentative="1">
      <w:start w:val="1"/>
      <w:numFmt w:val="bullet"/>
      <w:lvlText w:val="•"/>
      <w:lvlJc w:val="left"/>
      <w:pPr>
        <w:tabs>
          <w:tab w:val="num" w:pos="2880"/>
        </w:tabs>
        <w:ind w:left="2880" w:hanging="360"/>
      </w:pPr>
      <w:rPr>
        <w:rFonts w:ascii="Times New Roman" w:hAnsi="Times New Roman" w:hint="default"/>
      </w:rPr>
    </w:lvl>
    <w:lvl w:ilvl="4" w:tplc="C6BE0A88" w:tentative="1">
      <w:start w:val="1"/>
      <w:numFmt w:val="bullet"/>
      <w:lvlText w:val="•"/>
      <w:lvlJc w:val="left"/>
      <w:pPr>
        <w:tabs>
          <w:tab w:val="num" w:pos="3600"/>
        </w:tabs>
        <w:ind w:left="3600" w:hanging="360"/>
      </w:pPr>
      <w:rPr>
        <w:rFonts w:ascii="Times New Roman" w:hAnsi="Times New Roman" w:hint="default"/>
      </w:rPr>
    </w:lvl>
    <w:lvl w:ilvl="5" w:tplc="6DF26700" w:tentative="1">
      <w:start w:val="1"/>
      <w:numFmt w:val="bullet"/>
      <w:lvlText w:val="•"/>
      <w:lvlJc w:val="left"/>
      <w:pPr>
        <w:tabs>
          <w:tab w:val="num" w:pos="4320"/>
        </w:tabs>
        <w:ind w:left="4320" w:hanging="360"/>
      </w:pPr>
      <w:rPr>
        <w:rFonts w:ascii="Times New Roman" w:hAnsi="Times New Roman" w:hint="default"/>
      </w:rPr>
    </w:lvl>
    <w:lvl w:ilvl="6" w:tplc="EB5A9780" w:tentative="1">
      <w:start w:val="1"/>
      <w:numFmt w:val="bullet"/>
      <w:lvlText w:val="•"/>
      <w:lvlJc w:val="left"/>
      <w:pPr>
        <w:tabs>
          <w:tab w:val="num" w:pos="5040"/>
        </w:tabs>
        <w:ind w:left="5040" w:hanging="360"/>
      </w:pPr>
      <w:rPr>
        <w:rFonts w:ascii="Times New Roman" w:hAnsi="Times New Roman" w:hint="default"/>
      </w:rPr>
    </w:lvl>
    <w:lvl w:ilvl="7" w:tplc="6F36E28E" w:tentative="1">
      <w:start w:val="1"/>
      <w:numFmt w:val="bullet"/>
      <w:lvlText w:val="•"/>
      <w:lvlJc w:val="left"/>
      <w:pPr>
        <w:tabs>
          <w:tab w:val="num" w:pos="5760"/>
        </w:tabs>
        <w:ind w:left="5760" w:hanging="360"/>
      </w:pPr>
      <w:rPr>
        <w:rFonts w:ascii="Times New Roman" w:hAnsi="Times New Roman" w:hint="default"/>
      </w:rPr>
    </w:lvl>
    <w:lvl w:ilvl="8" w:tplc="0458F3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A06EDA"/>
    <w:multiLevelType w:val="hybridMultilevel"/>
    <w:tmpl w:val="3716C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3A3106"/>
    <w:multiLevelType w:val="hybridMultilevel"/>
    <w:tmpl w:val="3EBE8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7"/>
  </w:num>
  <w:num w:numId="6">
    <w:abstractNumId w:val="0"/>
  </w:num>
  <w:num w:numId="7">
    <w:abstractNumId w:val="5"/>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E3"/>
    <w:rsid w:val="0004116B"/>
    <w:rsid w:val="0004293C"/>
    <w:rsid w:val="00043142"/>
    <w:rsid w:val="000475E9"/>
    <w:rsid w:val="00052FBA"/>
    <w:rsid w:val="000566E1"/>
    <w:rsid w:val="00060ABA"/>
    <w:rsid w:val="000834BE"/>
    <w:rsid w:val="00083D2C"/>
    <w:rsid w:val="00093CAF"/>
    <w:rsid w:val="000A1796"/>
    <w:rsid w:val="000A5F96"/>
    <w:rsid w:val="000B2534"/>
    <w:rsid w:val="000C3DA7"/>
    <w:rsid w:val="000C5558"/>
    <w:rsid w:val="000D69E5"/>
    <w:rsid w:val="000E30D1"/>
    <w:rsid w:val="000E5FEF"/>
    <w:rsid w:val="000E63F0"/>
    <w:rsid w:val="000E7B4D"/>
    <w:rsid w:val="000F403A"/>
    <w:rsid w:val="000F75D2"/>
    <w:rsid w:val="001034B5"/>
    <w:rsid w:val="001047A2"/>
    <w:rsid w:val="00110982"/>
    <w:rsid w:val="00124508"/>
    <w:rsid w:val="00124EC9"/>
    <w:rsid w:val="00125026"/>
    <w:rsid w:val="001253FB"/>
    <w:rsid w:val="001441F6"/>
    <w:rsid w:val="001676A8"/>
    <w:rsid w:val="0017597E"/>
    <w:rsid w:val="001B59B9"/>
    <w:rsid w:val="001F7693"/>
    <w:rsid w:val="00207A9F"/>
    <w:rsid w:val="00211E0F"/>
    <w:rsid w:val="002131A5"/>
    <w:rsid w:val="00220076"/>
    <w:rsid w:val="00235FB5"/>
    <w:rsid w:val="00237498"/>
    <w:rsid w:val="00263201"/>
    <w:rsid w:val="002C0E5B"/>
    <w:rsid w:val="002C4EE1"/>
    <w:rsid w:val="002D424D"/>
    <w:rsid w:val="002D7273"/>
    <w:rsid w:val="002E0402"/>
    <w:rsid w:val="002E62EE"/>
    <w:rsid w:val="002E7F12"/>
    <w:rsid w:val="002F2668"/>
    <w:rsid w:val="002F5ACB"/>
    <w:rsid w:val="002F79AC"/>
    <w:rsid w:val="00300BC3"/>
    <w:rsid w:val="00307670"/>
    <w:rsid w:val="00312D89"/>
    <w:rsid w:val="00320301"/>
    <w:rsid w:val="003237B7"/>
    <w:rsid w:val="00324BE9"/>
    <w:rsid w:val="00336C17"/>
    <w:rsid w:val="00362CDC"/>
    <w:rsid w:val="00366A8E"/>
    <w:rsid w:val="00370B51"/>
    <w:rsid w:val="003726BA"/>
    <w:rsid w:val="003B6E78"/>
    <w:rsid w:val="003D7CD8"/>
    <w:rsid w:val="003E3E2C"/>
    <w:rsid w:val="003E4AE6"/>
    <w:rsid w:val="003F45B8"/>
    <w:rsid w:val="004274DC"/>
    <w:rsid w:val="00433ED4"/>
    <w:rsid w:val="00437248"/>
    <w:rsid w:val="0044141B"/>
    <w:rsid w:val="00446649"/>
    <w:rsid w:val="004472FD"/>
    <w:rsid w:val="004478BE"/>
    <w:rsid w:val="00454CE9"/>
    <w:rsid w:val="00493842"/>
    <w:rsid w:val="004952B2"/>
    <w:rsid w:val="004B0B04"/>
    <w:rsid w:val="004B35FE"/>
    <w:rsid w:val="004B3B0E"/>
    <w:rsid w:val="004B47C2"/>
    <w:rsid w:val="004B4D98"/>
    <w:rsid w:val="004B7D3A"/>
    <w:rsid w:val="004E611D"/>
    <w:rsid w:val="004F2D54"/>
    <w:rsid w:val="0051228E"/>
    <w:rsid w:val="005208E2"/>
    <w:rsid w:val="00527E72"/>
    <w:rsid w:val="005520E3"/>
    <w:rsid w:val="00564D81"/>
    <w:rsid w:val="00572004"/>
    <w:rsid w:val="00577040"/>
    <w:rsid w:val="00584CAF"/>
    <w:rsid w:val="005973D4"/>
    <w:rsid w:val="005A6AE4"/>
    <w:rsid w:val="005C1BCE"/>
    <w:rsid w:val="005C4E94"/>
    <w:rsid w:val="005D0E47"/>
    <w:rsid w:val="005E748F"/>
    <w:rsid w:val="0060072C"/>
    <w:rsid w:val="00613227"/>
    <w:rsid w:val="00625C00"/>
    <w:rsid w:val="00627551"/>
    <w:rsid w:val="00631B49"/>
    <w:rsid w:val="00632C97"/>
    <w:rsid w:val="00633E9B"/>
    <w:rsid w:val="00645491"/>
    <w:rsid w:val="006670AE"/>
    <w:rsid w:val="00675090"/>
    <w:rsid w:val="006851FB"/>
    <w:rsid w:val="006A07BA"/>
    <w:rsid w:val="006B634F"/>
    <w:rsid w:val="006C4F54"/>
    <w:rsid w:val="006D1218"/>
    <w:rsid w:val="006D2E6F"/>
    <w:rsid w:val="006D7B9E"/>
    <w:rsid w:val="006F1EB2"/>
    <w:rsid w:val="006F1FC2"/>
    <w:rsid w:val="006F57F7"/>
    <w:rsid w:val="006F60B9"/>
    <w:rsid w:val="00702A1A"/>
    <w:rsid w:val="00703E71"/>
    <w:rsid w:val="00706428"/>
    <w:rsid w:val="00706F23"/>
    <w:rsid w:val="00713CA1"/>
    <w:rsid w:val="00716685"/>
    <w:rsid w:val="00720E81"/>
    <w:rsid w:val="00721866"/>
    <w:rsid w:val="0073266A"/>
    <w:rsid w:val="00733B63"/>
    <w:rsid w:val="007343D1"/>
    <w:rsid w:val="00735AE5"/>
    <w:rsid w:val="007501E0"/>
    <w:rsid w:val="00753BFC"/>
    <w:rsid w:val="00763FF2"/>
    <w:rsid w:val="007656BD"/>
    <w:rsid w:val="0077304C"/>
    <w:rsid w:val="007751D4"/>
    <w:rsid w:val="0078174E"/>
    <w:rsid w:val="0078234C"/>
    <w:rsid w:val="00795EEE"/>
    <w:rsid w:val="00796367"/>
    <w:rsid w:val="007C2E38"/>
    <w:rsid w:val="007D134E"/>
    <w:rsid w:val="007D7BAE"/>
    <w:rsid w:val="007E0729"/>
    <w:rsid w:val="007E5B0E"/>
    <w:rsid w:val="00801BC9"/>
    <w:rsid w:val="00802F76"/>
    <w:rsid w:val="008035D3"/>
    <w:rsid w:val="00804118"/>
    <w:rsid w:val="00805764"/>
    <w:rsid w:val="00807FAA"/>
    <w:rsid w:val="00814E9A"/>
    <w:rsid w:val="00814F72"/>
    <w:rsid w:val="00821B2F"/>
    <w:rsid w:val="0082252C"/>
    <w:rsid w:val="00822C90"/>
    <w:rsid w:val="008256DF"/>
    <w:rsid w:val="008268AD"/>
    <w:rsid w:val="00827E73"/>
    <w:rsid w:val="008400EE"/>
    <w:rsid w:val="00840968"/>
    <w:rsid w:val="00843E71"/>
    <w:rsid w:val="00851DF6"/>
    <w:rsid w:val="008576E4"/>
    <w:rsid w:val="0086535C"/>
    <w:rsid w:val="00865422"/>
    <w:rsid w:val="00873440"/>
    <w:rsid w:val="00874977"/>
    <w:rsid w:val="00876571"/>
    <w:rsid w:val="008871FA"/>
    <w:rsid w:val="008A4A66"/>
    <w:rsid w:val="008B1DF0"/>
    <w:rsid w:val="008B3ED1"/>
    <w:rsid w:val="008C1254"/>
    <w:rsid w:val="008C2CE3"/>
    <w:rsid w:val="008C6C38"/>
    <w:rsid w:val="008D1DD6"/>
    <w:rsid w:val="008E32B9"/>
    <w:rsid w:val="008E7826"/>
    <w:rsid w:val="008F0F03"/>
    <w:rsid w:val="00903D83"/>
    <w:rsid w:val="00912C0A"/>
    <w:rsid w:val="0092678D"/>
    <w:rsid w:val="00945540"/>
    <w:rsid w:val="009549C6"/>
    <w:rsid w:val="009647BE"/>
    <w:rsid w:val="00972F25"/>
    <w:rsid w:val="00986D66"/>
    <w:rsid w:val="009945B3"/>
    <w:rsid w:val="00995BAB"/>
    <w:rsid w:val="00995EB8"/>
    <w:rsid w:val="00996C4F"/>
    <w:rsid w:val="009A0123"/>
    <w:rsid w:val="009A11FA"/>
    <w:rsid w:val="009A3476"/>
    <w:rsid w:val="009A7AA1"/>
    <w:rsid w:val="009B6F76"/>
    <w:rsid w:val="009C1740"/>
    <w:rsid w:val="009C5E32"/>
    <w:rsid w:val="009E511E"/>
    <w:rsid w:val="009F15EB"/>
    <w:rsid w:val="00A078A3"/>
    <w:rsid w:val="00A11241"/>
    <w:rsid w:val="00A35429"/>
    <w:rsid w:val="00A52B16"/>
    <w:rsid w:val="00A727C0"/>
    <w:rsid w:val="00A80ABC"/>
    <w:rsid w:val="00A916AD"/>
    <w:rsid w:val="00AC24B5"/>
    <w:rsid w:val="00AC6AC9"/>
    <w:rsid w:val="00AF7863"/>
    <w:rsid w:val="00B161DE"/>
    <w:rsid w:val="00B16257"/>
    <w:rsid w:val="00B21346"/>
    <w:rsid w:val="00B23488"/>
    <w:rsid w:val="00B411A1"/>
    <w:rsid w:val="00B47E40"/>
    <w:rsid w:val="00B566CD"/>
    <w:rsid w:val="00B57569"/>
    <w:rsid w:val="00B60EB9"/>
    <w:rsid w:val="00B61688"/>
    <w:rsid w:val="00B66116"/>
    <w:rsid w:val="00B73417"/>
    <w:rsid w:val="00B92960"/>
    <w:rsid w:val="00B95B51"/>
    <w:rsid w:val="00BA3DE1"/>
    <w:rsid w:val="00BA7F77"/>
    <w:rsid w:val="00BB2578"/>
    <w:rsid w:val="00BC3F28"/>
    <w:rsid w:val="00BC7F43"/>
    <w:rsid w:val="00BE209E"/>
    <w:rsid w:val="00BF1041"/>
    <w:rsid w:val="00C03E05"/>
    <w:rsid w:val="00C23C73"/>
    <w:rsid w:val="00C31166"/>
    <w:rsid w:val="00C406D1"/>
    <w:rsid w:val="00C4577F"/>
    <w:rsid w:val="00C460FC"/>
    <w:rsid w:val="00C539DC"/>
    <w:rsid w:val="00C639CE"/>
    <w:rsid w:val="00CA312E"/>
    <w:rsid w:val="00CA61ED"/>
    <w:rsid w:val="00CB1286"/>
    <w:rsid w:val="00CB1B39"/>
    <w:rsid w:val="00CB6B33"/>
    <w:rsid w:val="00CC731C"/>
    <w:rsid w:val="00CD346C"/>
    <w:rsid w:val="00CD6FCE"/>
    <w:rsid w:val="00D036C3"/>
    <w:rsid w:val="00D075AB"/>
    <w:rsid w:val="00D076A9"/>
    <w:rsid w:val="00D13CA8"/>
    <w:rsid w:val="00D24F32"/>
    <w:rsid w:val="00D5140E"/>
    <w:rsid w:val="00D57B3C"/>
    <w:rsid w:val="00D925B0"/>
    <w:rsid w:val="00D9680A"/>
    <w:rsid w:val="00D97BCB"/>
    <w:rsid w:val="00DA19EB"/>
    <w:rsid w:val="00DB3398"/>
    <w:rsid w:val="00DB636C"/>
    <w:rsid w:val="00DC19DA"/>
    <w:rsid w:val="00DC5CAD"/>
    <w:rsid w:val="00DD55D1"/>
    <w:rsid w:val="00DF32C4"/>
    <w:rsid w:val="00E010D0"/>
    <w:rsid w:val="00E01831"/>
    <w:rsid w:val="00E03059"/>
    <w:rsid w:val="00E061B9"/>
    <w:rsid w:val="00E06ED1"/>
    <w:rsid w:val="00E10E44"/>
    <w:rsid w:val="00E118D2"/>
    <w:rsid w:val="00E22B07"/>
    <w:rsid w:val="00E3153B"/>
    <w:rsid w:val="00E34922"/>
    <w:rsid w:val="00E3649C"/>
    <w:rsid w:val="00E36680"/>
    <w:rsid w:val="00E81F06"/>
    <w:rsid w:val="00E82A9E"/>
    <w:rsid w:val="00E940F2"/>
    <w:rsid w:val="00EA3E9E"/>
    <w:rsid w:val="00EA6808"/>
    <w:rsid w:val="00EC0AEF"/>
    <w:rsid w:val="00ED071E"/>
    <w:rsid w:val="00ED5FA3"/>
    <w:rsid w:val="00EE4321"/>
    <w:rsid w:val="00F019E9"/>
    <w:rsid w:val="00F10F4A"/>
    <w:rsid w:val="00F128B9"/>
    <w:rsid w:val="00F35F87"/>
    <w:rsid w:val="00F36031"/>
    <w:rsid w:val="00F407B7"/>
    <w:rsid w:val="00F44F1A"/>
    <w:rsid w:val="00F671A1"/>
    <w:rsid w:val="00F67DE9"/>
    <w:rsid w:val="00F70B86"/>
    <w:rsid w:val="00F804CD"/>
    <w:rsid w:val="00F8795D"/>
    <w:rsid w:val="00FA1E22"/>
    <w:rsid w:val="00FB652B"/>
    <w:rsid w:val="00FB695E"/>
    <w:rsid w:val="00FC21BA"/>
    <w:rsid w:val="00FC45AB"/>
    <w:rsid w:val="00FC6FF1"/>
    <w:rsid w:val="00FD52A0"/>
    <w:rsid w:val="00FE756D"/>
    <w:rsid w:val="00FF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0E2A"/>
  <w15:chartTrackingRefBased/>
  <w15:docId w15:val="{B9173771-BD0A-4199-9AFB-FE3BAB12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1F6"/>
    <w:rPr>
      <w:color w:val="0563C1" w:themeColor="hyperlink"/>
      <w:u w:val="single"/>
    </w:rPr>
  </w:style>
  <w:style w:type="character" w:styleId="UnresolvedMention">
    <w:name w:val="Unresolved Mention"/>
    <w:basedOn w:val="DefaultParagraphFont"/>
    <w:uiPriority w:val="99"/>
    <w:semiHidden/>
    <w:unhideWhenUsed/>
    <w:rsid w:val="001441F6"/>
    <w:rPr>
      <w:color w:val="605E5C"/>
      <w:shd w:val="clear" w:color="auto" w:fill="E1DFDD"/>
    </w:rPr>
  </w:style>
  <w:style w:type="paragraph" w:styleId="ListParagraph">
    <w:name w:val="List Paragraph"/>
    <w:basedOn w:val="Normal"/>
    <w:uiPriority w:val="34"/>
    <w:qFormat/>
    <w:rsid w:val="009A7AA1"/>
    <w:pPr>
      <w:ind w:left="720"/>
      <w:contextualSpacing/>
    </w:pPr>
  </w:style>
  <w:style w:type="paragraph" w:styleId="Caption">
    <w:name w:val="caption"/>
    <w:basedOn w:val="Normal"/>
    <w:next w:val="Normal"/>
    <w:uiPriority w:val="35"/>
    <w:unhideWhenUsed/>
    <w:qFormat/>
    <w:rsid w:val="00ED5F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61904">
      <w:bodyDiv w:val="1"/>
      <w:marLeft w:val="0"/>
      <w:marRight w:val="0"/>
      <w:marTop w:val="0"/>
      <w:marBottom w:val="0"/>
      <w:divBdr>
        <w:top w:val="none" w:sz="0" w:space="0" w:color="auto"/>
        <w:left w:val="none" w:sz="0" w:space="0" w:color="auto"/>
        <w:bottom w:val="none" w:sz="0" w:space="0" w:color="auto"/>
        <w:right w:val="none" w:sz="0" w:space="0" w:color="auto"/>
      </w:divBdr>
      <w:divsChild>
        <w:div w:id="6995537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93F71A-D293-4521-A47D-950CE94A8354}" type="doc">
      <dgm:prSet loTypeId="urn:microsoft.com/office/officeart/2005/8/layout/process1" loCatId="process" qsTypeId="urn:microsoft.com/office/officeart/2005/8/quickstyle/simple1" qsCatId="simple" csTypeId="urn:microsoft.com/office/officeart/2005/8/colors/colorful1" csCatId="colorful" phldr="1"/>
      <dgm:spPr/>
    </dgm:pt>
    <dgm:pt modelId="{05A08E40-BD33-4873-B05A-E36C8F5CE635}">
      <dgm:prSet phldrT="[Text]" custT="1"/>
      <dgm:spPr/>
      <dgm:t>
        <a:bodyPr/>
        <a:lstStyle/>
        <a:p>
          <a:r>
            <a:rPr lang="en-GB" sz="1400">
              <a:solidFill>
                <a:sysClr val="windowText" lastClr="000000"/>
              </a:solidFill>
            </a:rPr>
            <a:t>College Tutor</a:t>
          </a:r>
        </a:p>
      </dgm:t>
    </dgm:pt>
    <dgm:pt modelId="{0CB7F674-BC1C-4A20-B7B5-77B1C28394EB}" type="parTrans" cxnId="{E79DAD3E-8200-48DA-91F8-5A943777A3CD}">
      <dgm:prSet/>
      <dgm:spPr/>
      <dgm:t>
        <a:bodyPr/>
        <a:lstStyle/>
        <a:p>
          <a:endParaRPr lang="en-GB"/>
        </a:p>
      </dgm:t>
    </dgm:pt>
    <dgm:pt modelId="{227AF632-0D57-4DBE-802D-4320FD598D04}" type="sibTrans" cxnId="{E79DAD3E-8200-48DA-91F8-5A943777A3CD}">
      <dgm:prSet/>
      <dgm:spPr/>
      <dgm:t>
        <a:bodyPr/>
        <a:lstStyle/>
        <a:p>
          <a:endParaRPr lang="en-GB"/>
        </a:p>
      </dgm:t>
    </dgm:pt>
    <dgm:pt modelId="{1EFE9634-3187-4068-B713-60D900C16DCE}">
      <dgm:prSet phldrT="[Text]" custT="1"/>
      <dgm:spPr/>
      <dgm:t>
        <a:bodyPr/>
        <a:lstStyle/>
        <a:p>
          <a:r>
            <a:rPr lang="en-GB" sz="1200">
              <a:solidFill>
                <a:sysClr val="windowText" lastClr="000000"/>
              </a:solidFill>
            </a:rPr>
            <a:t>Training Programme Director for Core/Speciality Trainees </a:t>
          </a:r>
        </a:p>
      </dgm:t>
    </dgm:pt>
    <dgm:pt modelId="{9C7AEEFE-30FF-432C-8DFC-69C22F855558}" type="parTrans" cxnId="{3013DB0A-729B-4ED3-8BBC-81CC545BE7A0}">
      <dgm:prSet/>
      <dgm:spPr/>
      <dgm:t>
        <a:bodyPr/>
        <a:lstStyle/>
        <a:p>
          <a:endParaRPr lang="en-GB"/>
        </a:p>
      </dgm:t>
    </dgm:pt>
    <dgm:pt modelId="{35BA0CAD-9104-4F38-9C66-B8A01763A7C0}" type="sibTrans" cxnId="{3013DB0A-729B-4ED3-8BBC-81CC545BE7A0}">
      <dgm:prSet/>
      <dgm:spPr/>
      <dgm:t>
        <a:bodyPr/>
        <a:lstStyle/>
        <a:p>
          <a:endParaRPr lang="en-GB"/>
        </a:p>
      </dgm:t>
    </dgm:pt>
    <dgm:pt modelId="{644031DB-FD0F-4D3F-BF32-61D8C6E9A7E1}">
      <dgm:prSet phldrT="[Text]" custT="1"/>
      <dgm:spPr/>
      <dgm:t>
        <a:bodyPr/>
        <a:lstStyle/>
        <a:p>
          <a:r>
            <a:rPr lang="en-GB" sz="1400">
              <a:solidFill>
                <a:sysClr val="windowText" lastClr="000000"/>
              </a:solidFill>
            </a:rPr>
            <a:t>Educational Supervisor*</a:t>
          </a:r>
        </a:p>
      </dgm:t>
    </dgm:pt>
    <dgm:pt modelId="{C61CCCF2-EA43-4E73-94F3-A079743E6426}" type="sibTrans" cxnId="{A64C5979-E885-47B3-85F9-1F768BEA03ED}">
      <dgm:prSet/>
      <dgm:spPr/>
      <dgm:t>
        <a:bodyPr/>
        <a:lstStyle/>
        <a:p>
          <a:endParaRPr lang="en-GB"/>
        </a:p>
      </dgm:t>
    </dgm:pt>
    <dgm:pt modelId="{E4590FB9-9BB7-488C-9AA9-8DDF7818D970}" type="parTrans" cxnId="{A64C5979-E885-47B3-85F9-1F768BEA03ED}">
      <dgm:prSet/>
      <dgm:spPr/>
      <dgm:t>
        <a:bodyPr/>
        <a:lstStyle/>
        <a:p>
          <a:endParaRPr lang="en-GB"/>
        </a:p>
      </dgm:t>
    </dgm:pt>
    <dgm:pt modelId="{FA5BAF6A-4C0F-4CB3-9A0A-06781146A850}" type="pres">
      <dgm:prSet presAssocID="{1D93F71A-D293-4521-A47D-950CE94A8354}" presName="Name0" presStyleCnt="0">
        <dgm:presLayoutVars>
          <dgm:dir/>
          <dgm:resizeHandles val="exact"/>
        </dgm:presLayoutVars>
      </dgm:prSet>
      <dgm:spPr/>
    </dgm:pt>
    <dgm:pt modelId="{7485A0C6-4A81-4009-BA4A-3122530F158D}" type="pres">
      <dgm:prSet presAssocID="{644031DB-FD0F-4D3F-BF32-61D8C6E9A7E1}" presName="node" presStyleLbl="node1" presStyleIdx="0" presStyleCnt="3">
        <dgm:presLayoutVars>
          <dgm:bulletEnabled val="1"/>
        </dgm:presLayoutVars>
      </dgm:prSet>
      <dgm:spPr/>
    </dgm:pt>
    <dgm:pt modelId="{397C8C95-579B-42F7-A6AA-2AC36BDB8BFF}" type="pres">
      <dgm:prSet presAssocID="{C61CCCF2-EA43-4E73-94F3-A079743E6426}" presName="sibTrans" presStyleLbl="sibTrans2D1" presStyleIdx="0" presStyleCnt="2"/>
      <dgm:spPr/>
    </dgm:pt>
    <dgm:pt modelId="{C8FE966C-0E60-4711-8E16-0BEF74AE61AE}" type="pres">
      <dgm:prSet presAssocID="{C61CCCF2-EA43-4E73-94F3-A079743E6426}" presName="connectorText" presStyleLbl="sibTrans2D1" presStyleIdx="0" presStyleCnt="2"/>
      <dgm:spPr/>
    </dgm:pt>
    <dgm:pt modelId="{B17109E1-8754-4005-ABEC-D92154146534}" type="pres">
      <dgm:prSet presAssocID="{05A08E40-BD33-4873-B05A-E36C8F5CE635}" presName="node" presStyleLbl="node1" presStyleIdx="1" presStyleCnt="3">
        <dgm:presLayoutVars>
          <dgm:bulletEnabled val="1"/>
        </dgm:presLayoutVars>
      </dgm:prSet>
      <dgm:spPr/>
    </dgm:pt>
    <dgm:pt modelId="{F656DC31-68A8-4C72-93A7-957B2E84BD3C}" type="pres">
      <dgm:prSet presAssocID="{227AF632-0D57-4DBE-802D-4320FD598D04}" presName="sibTrans" presStyleLbl="sibTrans2D1" presStyleIdx="1" presStyleCnt="2"/>
      <dgm:spPr/>
    </dgm:pt>
    <dgm:pt modelId="{172DA7D2-5359-4CEA-B896-DA27AB2E6CDE}" type="pres">
      <dgm:prSet presAssocID="{227AF632-0D57-4DBE-802D-4320FD598D04}" presName="connectorText" presStyleLbl="sibTrans2D1" presStyleIdx="1" presStyleCnt="2"/>
      <dgm:spPr/>
    </dgm:pt>
    <dgm:pt modelId="{6BD369BD-8D33-4DD5-B096-6836758B9A1C}" type="pres">
      <dgm:prSet presAssocID="{1EFE9634-3187-4068-B713-60D900C16DCE}" presName="node" presStyleLbl="node1" presStyleIdx="2" presStyleCnt="3">
        <dgm:presLayoutVars>
          <dgm:bulletEnabled val="1"/>
        </dgm:presLayoutVars>
      </dgm:prSet>
      <dgm:spPr/>
    </dgm:pt>
  </dgm:ptLst>
  <dgm:cxnLst>
    <dgm:cxn modelId="{3013DB0A-729B-4ED3-8BBC-81CC545BE7A0}" srcId="{1D93F71A-D293-4521-A47D-950CE94A8354}" destId="{1EFE9634-3187-4068-B713-60D900C16DCE}" srcOrd="2" destOrd="0" parTransId="{9C7AEEFE-30FF-432C-8DFC-69C22F855558}" sibTransId="{35BA0CAD-9104-4F38-9C66-B8A01763A7C0}"/>
    <dgm:cxn modelId="{E79DAD3E-8200-48DA-91F8-5A943777A3CD}" srcId="{1D93F71A-D293-4521-A47D-950CE94A8354}" destId="{05A08E40-BD33-4873-B05A-E36C8F5CE635}" srcOrd="1" destOrd="0" parTransId="{0CB7F674-BC1C-4A20-B7B5-77B1C28394EB}" sibTransId="{227AF632-0D57-4DBE-802D-4320FD598D04}"/>
    <dgm:cxn modelId="{97609F4B-0500-4024-AA2F-999407329966}" type="presOf" srcId="{C61CCCF2-EA43-4E73-94F3-A079743E6426}" destId="{397C8C95-579B-42F7-A6AA-2AC36BDB8BFF}" srcOrd="0" destOrd="0" presId="urn:microsoft.com/office/officeart/2005/8/layout/process1"/>
    <dgm:cxn modelId="{675BF556-F2DF-42DA-A408-F48B2EB12D00}" type="presOf" srcId="{227AF632-0D57-4DBE-802D-4320FD598D04}" destId="{172DA7D2-5359-4CEA-B896-DA27AB2E6CDE}" srcOrd="1" destOrd="0" presId="urn:microsoft.com/office/officeart/2005/8/layout/process1"/>
    <dgm:cxn modelId="{A64C5979-E885-47B3-85F9-1F768BEA03ED}" srcId="{1D93F71A-D293-4521-A47D-950CE94A8354}" destId="{644031DB-FD0F-4D3F-BF32-61D8C6E9A7E1}" srcOrd="0" destOrd="0" parTransId="{E4590FB9-9BB7-488C-9AA9-8DDF7818D970}" sibTransId="{C61CCCF2-EA43-4E73-94F3-A079743E6426}"/>
    <dgm:cxn modelId="{910A6581-4500-4ACD-BC49-5F5604AA13F4}" type="presOf" srcId="{C61CCCF2-EA43-4E73-94F3-A079743E6426}" destId="{C8FE966C-0E60-4711-8E16-0BEF74AE61AE}" srcOrd="1" destOrd="0" presId="urn:microsoft.com/office/officeart/2005/8/layout/process1"/>
    <dgm:cxn modelId="{A4C201A7-3DA9-4423-923B-6FAB7DF8C26A}" type="presOf" srcId="{1EFE9634-3187-4068-B713-60D900C16DCE}" destId="{6BD369BD-8D33-4DD5-B096-6836758B9A1C}" srcOrd="0" destOrd="0" presId="urn:microsoft.com/office/officeart/2005/8/layout/process1"/>
    <dgm:cxn modelId="{5F4DE6C0-9199-42EC-B8EB-D57A6EB966EF}" type="presOf" srcId="{644031DB-FD0F-4D3F-BF32-61D8C6E9A7E1}" destId="{7485A0C6-4A81-4009-BA4A-3122530F158D}" srcOrd="0" destOrd="0" presId="urn:microsoft.com/office/officeart/2005/8/layout/process1"/>
    <dgm:cxn modelId="{5223A0CD-7901-4B6A-8A1D-8438F4CF5A9C}" type="presOf" srcId="{1D93F71A-D293-4521-A47D-950CE94A8354}" destId="{FA5BAF6A-4C0F-4CB3-9A0A-06781146A850}" srcOrd="0" destOrd="0" presId="urn:microsoft.com/office/officeart/2005/8/layout/process1"/>
    <dgm:cxn modelId="{3EFC44E6-0687-49E1-A32B-EB82D315C739}" type="presOf" srcId="{05A08E40-BD33-4873-B05A-E36C8F5CE635}" destId="{B17109E1-8754-4005-ABEC-D92154146534}" srcOrd="0" destOrd="0" presId="urn:microsoft.com/office/officeart/2005/8/layout/process1"/>
    <dgm:cxn modelId="{6A91C0FA-A274-48A8-A3F5-2A23D190BC41}" type="presOf" srcId="{227AF632-0D57-4DBE-802D-4320FD598D04}" destId="{F656DC31-68A8-4C72-93A7-957B2E84BD3C}" srcOrd="0" destOrd="0" presId="urn:microsoft.com/office/officeart/2005/8/layout/process1"/>
    <dgm:cxn modelId="{A1A0F7D4-8FAB-4D14-B1FE-655A17CC1BF3}" type="presParOf" srcId="{FA5BAF6A-4C0F-4CB3-9A0A-06781146A850}" destId="{7485A0C6-4A81-4009-BA4A-3122530F158D}" srcOrd="0" destOrd="0" presId="urn:microsoft.com/office/officeart/2005/8/layout/process1"/>
    <dgm:cxn modelId="{71F16871-51B2-46C1-BE51-1E28CCCA2144}" type="presParOf" srcId="{FA5BAF6A-4C0F-4CB3-9A0A-06781146A850}" destId="{397C8C95-579B-42F7-A6AA-2AC36BDB8BFF}" srcOrd="1" destOrd="0" presId="urn:microsoft.com/office/officeart/2005/8/layout/process1"/>
    <dgm:cxn modelId="{431879A8-5633-4A5F-8A8F-8433E5EA8EBA}" type="presParOf" srcId="{397C8C95-579B-42F7-A6AA-2AC36BDB8BFF}" destId="{C8FE966C-0E60-4711-8E16-0BEF74AE61AE}" srcOrd="0" destOrd="0" presId="urn:microsoft.com/office/officeart/2005/8/layout/process1"/>
    <dgm:cxn modelId="{2D49E51D-F732-4AEB-988C-6DB126B30484}" type="presParOf" srcId="{FA5BAF6A-4C0F-4CB3-9A0A-06781146A850}" destId="{B17109E1-8754-4005-ABEC-D92154146534}" srcOrd="2" destOrd="0" presId="urn:microsoft.com/office/officeart/2005/8/layout/process1"/>
    <dgm:cxn modelId="{D7968709-CADB-4B5F-8C19-A0749A4AE599}" type="presParOf" srcId="{FA5BAF6A-4C0F-4CB3-9A0A-06781146A850}" destId="{F656DC31-68A8-4C72-93A7-957B2E84BD3C}" srcOrd="3" destOrd="0" presId="urn:microsoft.com/office/officeart/2005/8/layout/process1"/>
    <dgm:cxn modelId="{B130B805-A898-407D-875B-C77658C9EA98}" type="presParOf" srcId="{F656DC31-68A8-4C72-93A7-957B2E84BD3C}" destId="{172DA7D2-5359-4CEA-B896-DA27AB2E6CDE}" srcOrd="0" destOrd="0" presId="urn:microsoft.com/office/officeart/2005/8/layout/process1"/>
    <dgm:cxn modelId="{FAF0269F-E459-4085-910A-28D5FDD03D42}" type="presParOf" srcId="{FA5BAF6A-4C0F-4CB3-9A0A-06781146A850}" destId="{6BD369BD-8D33-4DD5-B096-6836758B9A1C}"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5A0C6-4A81-4009-BA4A-3122530F158D}">
      <dsp:nvSpPr>
        <dsp:cNvPr id="0" name=""/>
        <dsp:cNvSpPr/>
      </dsp:nvSpPr>
      <dsp:spPr>
        <a:xfrm>
          <a:off x="5037" y="76627"/>
          <a:ext cx="1505640" cy="90338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Educational Supervisor*</a:t>
          </a:r>
        </a:p>
      </dsp:txBody>
      <dsp:txXfrm>
        <a:off x="31496" y="103086"/>
        <a:ext cx="1452722" cy="850466"/>
      </dsp:txXfrm>
    </dsp:sp>
    <dsp:sp modelId="{397C8C95-579B-42F7-A6AA-2AC36BDB8BFF}">
      <dsp:nvSpPr>
        <dsp:cNvPr id="0" name=""/>
        <dsp:cNvSpPr/>
      </dsp:nvSpPr>
      <dsp:spPr>
        <a:xfrm>
          <a:off x="1661242" y="341620"/>
          <a:ext cx="319195" cy="37339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661242" y="416300"/>
        <a:ext cx="223437" cy="224038"/>
      </dsp:txXfrm>
    </dsp:sp>
    <dsp:sp modelId="{B17109E1-8754-4005-ABEC-D92154146534}">
      <dsp:nvSpPr>
        <dsp:cNvPr id="0" name=""/>
        <dsp:cNvSpPr/>
      </dsp:nvSpPr>
      <dsp:spPr>
        <a:xfrm>
          <a:off x="2112934" y="76627"/>
          <a:ext cx="1505640" cy="90338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College Tutor</a:t>
          </a:r>
        </a:p>
      </dsp:txBody>
      <dsp:txXfrm>
        <a:off x="2139393" y="103086"/>
        <a:ext cx="1452722" cy="850466"/>
      </dsp:txXfrm>
    </dsp:sp>
    <dsp:sp modelId="{F656DC31-68A8-4C72-93A7-957B2E84BD3C}">
      <dsp:nvSpPr>
        <dsp:cNvPr id="0" name=""/>
        <dsp:cNvSpPr/>
      </dsp:nvSpPr>
      <dsp:spPr>
        <a:xfrm>
          <a:off x="3769139" y="341620"/>
          <a:ext cx="319195" cy="37339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769139" y="416300"/>
        <a:ext cx="223437" cy="224038"/>
      </dsp:txXfrm>
    </dsp:sp>
    <dsp:sp modelId="{6BD369BD-8D33-4DD5-B096-6836758B9A1C}">
      <dsp:nvSpPr>
        <dsp:cNvPr id="0" name=""/>
        <dsp:cNvSpPr/>
      </dsp:nvSpPr>
      <dsp:spPr>
        <a:xfrm>
          <a:off x="4220831" y="76627"/>
          <a:ext cx="1505640" cy="90338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Training Programme Director for Core/Speciality Trainees </a:t>
          </a:r>
        </a:p>
      </dsp:txBody>
      <dsp:txXfrm>
        <a:off x="4247290" y="103086"/>
        <a:ext cx="1452722" cy="8504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CAF8-2BDB-417A-A11D-14F1F018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Veal</dc:creator>
  <cp:keywords/>
  <dc:description/>
  <cp:lastModifiedBy>Andrew Veal</cp:lastModifiedBy>
  <cp:revision>317</cp:revision>
  <dcterms:created xsi:type="dcterms:W3CDTF">2019-07-14T14:58:00Z</dcterms:created>
  <dcterms:modified xsi:type="dcterms:W3CDTF">2020-06-30T15:33:00Z</dcterms:modified>
</cp:coreProperties>
</file>